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sz w:val="32"/>
          <w:szCs w:val="32"/>
        </w:rPr>
      </w:pPr>
      <w:r>
        <w:rPr>
          <w:rFonts w:hint="eastAsia" w:ascii="黑体" w:hAnsi="黑体" w:eastAsia="黑体"/>
          <w:sz w:val="32"/>
          <w:szCs w:val="32"/>
        </w:rPr>
        <w:t xml:space="preserve">附件1： </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2018年度新疆喀什地区英吉沙县质量技术监督局部门决算</w:t>
      </w: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  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 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 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5"/>
      <w:bookmarkStart w:id="1" w:name="OLE_LINK94"/>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 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 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 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ascii="黑体" w:hAnsi="黑体" w:eastAsia="黑体" w:cs="宋体"/>
          <w:bCs/>
          <w:kern w:val="0"/>
          <w:sz w:val="32"/>
          <w:szCs w:val="32"/>
        </w:rPr>
      </w:pPr>
      <w:r>
        <w:rPr>
          <w:rFonts w:hint="eastAsia" w:ascii="仿宋_GB2312" w:eastAsia="仿宋_GB2312"/>
          <w:sz w:val="32"/>
          <w:szCs w:val="32"/>
        </w:rPr>
        <w:t xml:space="preserve">    1、负责辖区内质量宏观管理工作，拟订并组织实施当地质量发展规划，推进名牌发展战略，承担本辖区产品质量诚信体系建设工作，会同有关部门组织实施重大工程设备质量监理制度，组织重大产品质量事故调查，实施缺陷产品和不安全食品召回制度，监督中管理产品防伪工作。</w:t>
      </w:r>
      <w:r>
        <w:rPr>
          <w:rFonts w:hint="eastAsia" w:ascii="仿宋_GB2312" w:eastAsia="仿宋_GB2312"/>
          <w:sz w:val="32"/>
          <w:szCs w:val="32"/>
        </w:rPr>
        <w:br w:type="textWrapping"/>
      </w:r>
      <w:r>
        <w:rPr>
          <w:rFonts w:hint="eastAsia" w:ascii="仿宋_GB2312" w:eastAsia="仿宋_GB2312"/>
          <w:sz w:val="32"/>
          <w:szCs w:val="32"/>
        </w:rPr>
        <w:t xml:space="preserve">    2、负责本辖区产品质量监督工作，组织开展辖区内产品质量安全强制检验、监督抽查等工作，负责辖区内工业产品生产许可证管理工作，监督管理产品质量仲裁检验、检定，组织开展产品质量安全专项整治工作，依法查处产品质量违法行为，按分工打击假冒伪劣违法活动，组织协调辖区内有关专项打假活动。</w:t>
      </w:r>
      <w:r>
        <w:rPr>
          <w:rFonts w:hint="eastAsia" w:ascii="仿宋_GB2312" w:eastAsia="仿宋_GB2312"/>
          <w:sz w:val="32"/>
          <w:szCs w:val="32"/>
        </w:rPr>
        <w:br w:type="textWrapping"/>
      </w:r>
      <w:r>
        <w:rPr>
          <w:rFonts w:hint="eastAsia" w:ascii="仿宋_GB2312" w:eastAsia="仿宋_GB2312"/>
          <w:sz w:val="32"/>
          <w:szCs w:val="32"/>
        </w:rPr>
        <w:t xml:space="preserve">    3、统一监督管理本辖区标准化工作，贯彻有关标准化工作的法律、法规、方针、政策，并制定本辖区的具体实施办法；制定本辖区标准化工作的规划、计划；指导本辖区有关行政主管部门的标准工作；组织制定有关地方标准。</w:t>
      </w:r>
      <w:r>
        <w:rPr>
          <w:rFonts w:hint="eastAsia" w:ascii="仿宋_GB2312" w:eastAsia="仿宋_GB2312"/>
          <w:sz w:val="32"/>
          <w:szCs w:val="32"/>
        </w:rPr>
        <w:br w:type="textWrapping"/>
      </w:r>
      <w:r>
        <w:rPr>
          <w:rFonts w:hint="eastAsia" w:ascii="仿宋_GB2312" w:eastAsia="仿宋_GB2312"/>
          <w:sz w:val="32"/>
          <w:szCs w:val="32"/>
        </w:rPr>
        <w:t xml:space="preserve">    4、承担综合管理本辖区特种设备安全监察、监督工作的责任，监督检查高耗能特种设备节能标准的执行情况。 </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新疆喀什地区英吉沙县质量技术监督局</w:t>
      </w:r>
      <w:r>
        <w:rPr>
          <w:rFonts w:hint="eastAsia" w:ascii="仿宋_GB2312" w:eastAsia="仿宋_GB2312"/>
          <w:sz w:val="32"/>
          <w:szCs w:val="32"/>
        </w:rPr>
        <w:t>部门决算包括：</w:t>
      </w:r>
      <w:r>
        <w:rPr>
          <w:rFonts w:ascii="仿宋_GB2312" w:eastAsia="仿宋_GB2312"/>
          <w:sz w:val="32"/>
          <w:szCs w:val="32"/>
        </w:rPr>
        <w:t>新疆喀什地区英吉沙县质量技术监督局</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新疆喀什地区英吉沙县质量技术监督局</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7"/>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序号</w:t>
            </w:r>
          </w:p>
        </w:tc>
        <w:tc>
          <w:tcPr>
            <w:tcW w:w="3870"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1</w:t>
            </w:r>
          </w:p>
        </w:tc>
        <w:tc>
          <w:tcPr>
            <w:tcW w:w="3870"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新疆喀什地区英吉沙县质量技术监督局</w:t>
            </w:r>
          </w:p>
        </w:tc>
        <w:tc>
          <w:tcPr>
            <w:tcW w:w="2538" w:type="dxa"/>
            <w:vAlign w:val="center"/>
          </w:tcPr>
          <w:p>
            <w:pPr>
              <w:pageBreakBefore w:val="0"/>
              <w:spacing w:line="500" w:lineRule="exact"/>
              <w:ind w:firstLine="420" w:firstLineChars="200"/>
              <w:jc w:val="left"/>
              <w:textAlignment w:val="auto"/>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 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540" w:lineRule="exact"/>
        <w:ind w:firstLine="640" w:firstLineChars="200"/>
        <w:rPr>
          <w:rFonts w:ascii="仿宋_GB2312" w:hAnsi="Calibri" w:eastAsia="仿宋_GB2312"/>
          <w:color w:val="000000" w:themeColor="text1"/>
          <w:sz w:val="32"/>
          <w:szCs w:val="32"/>
          <w:lang w:val="en-GB"/>
        </w:rPr>
      </w:pPr>
      <w:bookmarkStart w:id="4" w:name="OLE_LINK99"/>
      <w:bookmarkStart w:id="5" w:name="OLE_LINK100"/>
      <w:bookmarkStart w:id="6" w:name="OLE_LINK52"/>
      <w:r>
        <w:rPr>
          <w:rFonts w:hint="eastAsia" w:ascii="仿宋_GB2312" w:eastAsia="仿宋_GB2312"/>
          <w:color w:val="000000" w:themeColor="text1"/>
          <w:sz w:val="32"/>
          <w:szCs w:val="32"/>
        </w:rPr>
        <w:t>2018年度收入</w:t>
      </w:r>
      <w:r>
        <w:rPr>
          <w:rFonts w:hint="eastAsia" w:ascii="仿宋_GB2312" w:eastAsia="仿宋_GB2312"/>
          <w:sz w:val="32"/>
          <w:szCs w:val="32"/>
        </w:rPr>
        <w:t>133.7</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，与上年相比，增加19.32万元，增长16.89%，增加的主要原因是：</w:t>
      </w:r>
      <w:r>
        <w:rPr>
          <w:rFonts w:hint="eastAsia" w:ascii="仿宋_GB2312" w:eastAsia="仿宋_GB2312"/>
          <w:color w:val="000000" w:themeColor="text1"/>
          <w:sz w:val="32"/>
          <w:szCs w:val="32"/>
        </w:rPr>
        <w:t>2018年津贴补贴普调补发、基本工资普调补发纳入年终决算,2018年县级配套工作经费增加；</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133.7</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，与上年相比，增加19.32万元，增长16.89%，增加的主要原因是：</w:t>
      </w:r>
      <w:r>
        <w:rPr>
          <w:rFonts w:hint="eastAsia" w:ascii="仿宋_GB2312" w:eastAsia="仿宋_GB2312"/>
          <w:color w:val="000000" w:themeColor="text1"/>
          <w:sz w:val="32"/>
          <w:szCs w:val="32"/>
        </w:rPr>
        <w:t>2018年津贴补贴普调补发、基本工资普调补发纳入年终决算,2018年县级配套工作经费增加；</w:t>
      </w:r>
      <w:bookmarkEnd w:id="7"/>
      <w:bookmarkStart w:id="8" w:name="OLE_LINK54"/>
      <w:r>
        <w:rPr>
          <w:rFonts w:hint="eastAsia" w:ascii="仿宋_GB2312" w:eastAsia="仿宋_GB2312"/>
          <w:color w:val="000000" w:themeColor="text1"/>
          <w:sz w:val="32"/>
          <w:szCs w:val="32"/>
        </w:rPr>
        <w:t>结余</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，与上年相比增加0万元，增长0%，主要原因是：</w:t>
      </w:r>
      <w:r>
        <w:rPr>
          <w:rFonts w:ascii="仿宋_GB2312" w:eastAsia="仿宋_GB2312"/>
          <w:color w:val="000000" w:themeColor="text1"/>
          <w:sz w:val="32"/>
          <w:szCs w:val="32"/>
        </w:rPr>
        <w:t>资金使用到位，无结余。</w:t>
      </w:r>
      <w:bookmarkEnd w:id="8"/>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133.7</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128.4</w:t>
      </w:r>
      <w:r>
        <w:rPr>
          <w:rFonts w:hint="eastAsia" w:ascii="仿宋_GB2312" w:eastAsia="仿宋_GB2312"/>
          <w:color w:val="000000" w:themeColor="text1"/>
          <w:sz w:val="32"/>
          <w:szCs w:val="32"/>
        </w:rPr>
        <w:t>万元，占</w:t>
      </w:r>
      <w:r>
        <w:rPr>
          <w:rFonts w:hint="eastAsia" w:ascii="仿宋_GB2312" w:eastAsia="仿宋_GB2312"/>
          <w:sz w:val="32"/>
          <w:szCs w:val="32"/>
        </w:rPr>
        <w:t>96.04%</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5.3</w:t>
      </w:r>
      <w:r>
        <w:rPr>
          <w:rFonts w:hint="eastAsia" w:ascii="仿宋_GB2312" w:eastAsia="仿宋_GB2312"/>
          <w:color w:val="000000" w:themeColor="text1"/>
          <w:sz w:val="32"/>
          <w:szCs w:val="32"/>
        </w:rPr>
        <w:t>万元，占</w:t>
      </w:r>
      <w:r>
        <w:rPr>
          <w:rFonts w:hint="eastAsia" w:ascii="仿宋_GB2312" w:eastAsia="仿宋_GB2312"/>
          <w:sz w:val="32"/>
          <w:szCs w:val="32"/>
        </w:rPr>
        <w:t>3.96%</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况：本年收入年初预算数133.35万元</w:t>
      </w:r>
      <w:r>
        <w:rPr>
          <w:rFonts w:hint="eastAsia" w:ascii="仿宋_GB2312" w:eastAsia="仿宋_GB2312"/>
          <w:sz w:val="32"/>
          <w:szCs w:val="32"/>
        </w:rPr>
        <w:t>，决算数133.7万元</w:t>
      </w:r>
      <w:r>
        <w:rPr>
          <w:rFonts w:ascii="仿宋_GB2312" w:eastAsia="仿宋_GB2312"/>
          <w:sz w:val="32"/>
          <w:szCs w:val="32"/>
        </w:rPr>
        <w:t>，预决算差异率0.26%，差异主要原因是2018年津贴补贴普调补发、基本工资普调补发纳入年终决算。</w:t>
      </w:r>
      <w:bookmarkEnd w:id="1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ascii="仿宋_GB2312" w:eastAsia="仿宋_GB2312"/>
          <w:color w:val="000000" w:themeColor="text1"/>
          <w:spacing w:val="-6"/>
          <w:sz w:val="32"/>
          <w:szCs w:val="32"/>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133.7</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133.7</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olor w:val="000000" w:themeColor="text1"/>
          <w:sz w:val="32"/>
          <w:szCs w:val="32"/>
        </w:rPr>
        <w:t>与年初预算数相比情况：本年支出年初预算数133.35万元，</w:t>
      </w:r>
      <w:r>
        <w:rPr>
          <w:rFonts w:hint="eastAsia" w:ascii="仿宋_GB2312" w:eastAsia="仿宋_GB2312"/>
          <w:sz w:val="32"/>
          <w:szCs w:val="32"/>
        </w:rPr>
        <w:t>决算数133.7万元</w:t>
      </w:r>
      <w:r>
        <w:rPr>
          <w:rFonts w:ascii="仿宋_GB2312" w:eastAsia="仿宋_GB2312"/>
          <w:sz w:val="32"/>
          <w:szCs w:val="32"/>
        </w:rPr>
        <w:t>，预决算差异率0.26%，差异主要原因是2018年津贴补贴普调补发、基本工资普调补发纳入年终决算。</w:t>
      </w:r>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ascii="仿宋_GB2312" w:eastAsia="仿宋_GB2312"/>
          <w:color w:val="000000" w:themeColor="text1"/>
          <w:sz w:val="32"/>
          <w:szCs w:val="32"/>
        </w:rPr>
      </w:pPr>
      <w:bookmarkStart w:id="23" w:name="OLE_LINK57"/>
      <w:bookmarkStart w:id="24" w:name="OLE_LINK58"/>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128.4</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，与上年相比，增加14.02万元，增长12.26%，增加的主要原因是：2018年津贴补贴普调补发、基本工资普调补发纳入年终决算,2018年县级配套工作经费增加。</w:t>
      </w:r>
      <w:bookmarkEnd w:id="23"/>
      <w:bookmarkEnd w:id="24"/>
      <w:bookmarkStart w:id="26" w:name="OLE_LINK14"/>
      <w:bookmarkStart w:id="27" w:name="OLE_LINK59"/>
      <w:bookmarkStart w:id="28" w:name="OLE_LINK60"/>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128.4</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，与上年相比，增加14.02万元，增长12.26%，增加的主要原因是：</w:t>
      </w:r>
      <w:r>
        <w:rPr>
          <w:rFonts w:ascii="仿宋_GB2312" w:eastAsia="仿宋_GB2312"/>
          <w:sz w:val="32"/>
          <w:szCs w:val="32"/>
        </w:rPr>
        <w:t>2018年津贴补贴普调补发、基本工资普调补发纳入年终决算,2018年县级配套工作经费增加。</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128.4</w:t>
      </w:r>
      <w:r>
        <w:rPr>
          <w:rFonts w:hint="eastAsia" w:ascii="仿宋_GB2312" w:eastAsia="仿宋_GB2312"/>
          <w:color w:val="000000" w:themeColor="text1"/>
          <w:sz w:val="32"/>
          <w:szCs w:val="32"/>
        </w:rPr>
        <w:t>万元，项目支出</w:t>
      </w:r>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31" w:name="OLE_LINK16"/>
      <w:r>
        <w:rPr>
          <w:rFonts w:hint="eastAsia" w:ascii="仿宋_GB2312" w:eastAsia="仿宋_GB2312"/>
          <w:color w:val="000000" w:themeColor="text1"/>
          <w:sz w:val="32"/>
          <w:szCs w:val="32"/>
        </w:rPr>
        <w:t>财政拨款结转结余</w:t>
      </w:r>
      <w:bookmarkEnd w:id="31"/>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，与上年相比增加0万元，增长0%，主要原因是：资金使用到位，无结余。</w:t>
      </w:r>
      <w:bookmarkEnd w:id="29"/>
    </w:p>
    <w:p>
      <w:pPr>
        <w:spacing w:line="540" w:lineRule="exact"/>
        <w:ind w:firstLine="640" w:firstLineChars="200"/>
        <w:rPr>
          <w:rFonts w:ascii="仿宋_GB2312" w:eastAsia="仿宋_GB2312"/>
          <w:color w:val="000000" w:themeColor="text1"/>
          <w:sz w:val="32"/>
          <w:szCs w:val="32"/>
        </w:rPr>
      </w:pPr>
      <w:bookmarkStart w:id="32" w:name="OLE_LINK62"/>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133.35</w:t>
      </w:r>
      <w:r>
        <w:rPr>
          <w:rFonts w:hint="eastAsia" w:ascii="仿宋_GB2312" w:eastAsia="仿宋_GB2312"/>
          <w:color w:val="000000" w:themeColor="text1"/>
          <w:sz w:val="32"/>
          <w:szCs w:val="32"/>
        </w:rPr>
        <w:t>万元，决算数</w:t>
      </w:r>
      <w:r>
        <w:rPr>
          <w:rFonts w:hint="eastAsia" w:ascii="仿宋_GB2312" w:eastAsia="仿宋_GB2312"/>
          <w:sz w:val="32"/>
          <w:szCs w:val="32"/>
        </w:rPr>
        <w:t>128.4</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，预决算差异率-3.71%，差异主要原因是2018年津贴补贴普调补发、基本工资普调补发纳入年终决算。</w:t>
      </w:r>
      <w:bookmarkEnd w:id="32"/>
      <w:bookmarkStart w:id="33"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133.35</w:t>
      </w:r>
      <w:r>
        <w:rPr>
          <w:rFonts w:hint="eastAsia" w:ascii="仿宋_GB2312" w:eastAsia="仿宋_GB2312"/>
          <w:color w:val="000000" w:themeColor="text1"/>
          <w:sz w:val="32"/>
          <w:szCs w:val="32"/>
        </w:rPr>
        <w:t>万元，决算数</w:t>
      </w:r>
      <w:r>
        <w:rPr>
          <w:rFonts w:hint="eastAsia" w:ascii="仿宋_GB2312" w:eastAsia="仿宋_GB2312"/>
          <w:sz w:val="32"/>
          <w:szCs w:val="32"/>
        </w:rPr>
        <w:t>128.4</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，预决算差异率-3.71%，差异主要原因是2018年津贴补贴普调补发、基本工资普调补发纳入年终决算。</w:t>
      </w:r>
      <w:bookmarkEnd w:id="3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128.4</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，与上年相比，增加14.02万元，增长12.26%，增加的主要原因是：2018年津贴补贴普调补发、基本工资普调补发纳入年终决算,2018年县级配套工作经费增加。</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128.4</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，与上年相比，增加14.02万元，增长12.26%，增加的主要原因是：2018年津贴补贴普调补发、基本工资普调补发纳入年终决算,2018年县级配套工作经费增加。</w:t>
      </w:r>
      <w:bookmarkEnd w:id="37"/>
      <w:r>
        <w:rPr>
          <w:rFonts w:hint="eastAsia" w:ascii="仿宋_GB2312" w:eastAsia="仿宋_GB2312"/>
          <w:color w:val="000000" w:themeColor="text1"/>
          <w:sz w:val="32"/>
          <w:szCs w:val="32"/>
        </w:rPr>
        <w:t>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住房保障支出7.05万元,一般公共服务支出107.05万元,社会保障和就业支出14.29万元。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工资福利支出117.86万元,商品和服务支出3.53万元,对个人和家庭的补助7万元。</w:t>
      </w:r>
    </w:p>
    <w:p>
      <w:pPr>
        <w:spacing w:line="540" w:lineRule="exact"/>
        <w:ind w:firstLine="640" w:firstLineChars="200"/>
        <w:rPr>
          <w:rFonts w:ascii="仿宋_GB2312" w:eastAsia="仿宋_GB2312"/>
          <w:color w:val="000000" w:themeColor="text1"/>
          <w:sz w:val="32"/>
          <w:szCs w:val="32"/>
        </w:rPr>
      </w:pPr>
      <w:bookmarkStart w:id="41" w:name="OLE_LINK66"/>
      <w:bookmarkStart w:id="42" w:name="OLE_LINK67"/>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133.35</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128.4</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，预决算差异率-3.71%，差异主要原因是2018年津贴补贴普调补发、基本工资普调补发纳入年终决算。</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133.35</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128.4</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，预决算差异率-3.71%，差异主要原因是2018年津贴补贴普调补发、基本工资普调补发纳入年终决算。</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rPr>
      </w:pPr>
      <w:bookmarkStart w:id="44" w:name="OLE_LINK69"/>
      <w:r>
        <w:rPr>
          <w:rFonts w:hint="eastAsia" w:ascii="仿宋_GB2312" w:eastAsia="仿宋_GB2312"/>
          <w:color w:val="000000" w:themeColor="text1"/>
          <w:sz w:val="32"/>
          <w:szCs w:val="32"/>
        </w:rPr>
        <w:t>2018年度</w:t>
      </w:r>
      <w:bookmarkStart w:id="45" w:name="OLE_LINK22"/>
      <w:r>
        <w:rPr>
          <w:rFonts w:hint="eastAsia" w:ascii="仿宋_GB2312" w:eastAsia="仿宋_GB2312"/>
          <w:color w:val="000000" w:themeColor="text1"/>
          <w:sz w:val="32"/>
          <w:szCs w:val="32"/>
        </w:rPr>
        <w:t>政府性基金预算财政拨款收入</w:t>
      </w:r>
      <w:bookmarkEnd w:id="4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，与上年相比增加0万元，增长0%，主要原因是：没有关于政府性基金预算和决算。</w:t>
      </w:r>
      <w:bookmarkEnd w:id="44"/>
      <w:bookmarkStart w:id="46" w:name="OLE_LINK23"/>
      <w:bookmarkStart w:id="47" w:name="OLE_LINK70"/>
      <w:r>
        <w:rPr>
          <w:rFonts w:hint="eastAsia" w:ascii="仿宋_GB2312" w:eastAsia="仿宋_GB2312"/>
          <w:color w:val="000000" w:themeColor="text1"/>
          <w:sz w:val="32"/>
          <w:szCs w:val="32"/>
        </w:rPr>
        <w:t>政府性基金预算支出</w:t>
      </w:r>
      <w:bookmarkEnd w:id="46"/>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，与上年相比增加0万元，增长0%，主要原因是：无政府性基金收支。</w:t>
      </w:r>
      <w:bookmarkEnd w:id="47"/>
      <w:r>
        <w:rPr>
          <w:rFonts w:hint="eastAsia" w:ascii="仿宋_GB2312" w:eastAsia="仿宋_GB2312"/>
          <w:color w:val="000000" w:themeColor="text1"/>
          <w:sz w:val="32"/>
          <w:szCs w:val="32"/>
        </w:rPr>
        <w:t>其中：</w:t>
      </w:r>
      <w:bookmarkStart w:id="48" w:name="OLE_LINK24"/>
      <w:r>
        <w:rPr>
          <w:rFonts w:hint="eastAsia" w:ascii="仿宋_GB2312" w:eastAsia="仿宋_GB2312"/>
          <w:color w:val="000000" w:themeColor="text1"/>
          <w:sz w:val="32"/>
          <w:szCs w:val="32"/>
        </w:rPr>
        <w:t>按功能分类科目（按类级科目公开）</w:t>
      </w:r>
      <w:bookmarkEnd w:id="48"/>
      <w:r>
        <w:rPr>
          <w:rFonts w:hint="eastAsia" w:ascii="仿宋_GB2312" w:eastAsia="仿宋_GB2312"/>
          <w:color w:val="000000" w:themeColor="text1"/>
          <w:sz w:val="32"/>
          <w:szCs w:val="32"/>
        </w:rPr>
        <w:t>，</w:t>
      </w:r>
      <w:r>
        <w:rPr>
          <w:rFonts w:hint="eastAsia" w:ascii="仿宋_GB2312" w:eastAsia="仿宋_GB2312"/>
          <w:sz w:val="32"/>
          <w:szCs w:val="32"/>
        </w:rPr>
        <w:t>无政府性基金收支</w:t>
      </w:r>
      <w:r>
        <w:rPr>
          <w:rFonts w:hint="eastAsia" w:ascii="仿宋_GB2312" w:eastAsia="仿宋_GB2312"/>
          <w:color w:val="000000" w:themeColor="text1"/>
          <w:sz w:val="32"/>
          <w:szCs w:val="32"/>
        </w:rPr>
        <w:t>。按经济分类科目（按类级科目公开），</w:t>
      </w:r>
      <w:r>
        <w:rPr>
          <w:rFonts w:hint="eastAsia" w:ascii="仿宋_GB2312" w:eastAsia="仿宋_GB2312"/>
          <w:sz w:val="32"/>
          <w:szCs w:val="32"/>
        </w:rPr>
        <w:t>无政府性基金收支</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color w:val="000000" w:themeColor="text1"/>
          <w:sz w:val="32"/>
          <w:szCs w:val="32"/>
        </w:rPr>
      </w:pPr>
      <w:bookmarkStart w:id="49" w:name="OLE_LINK72"/>
      <w:bookmarkStart w:id="50" w:name="OLE_LINK71"/>
      <w:r>
        <w:rPr>
          <w:rFonts w:hint="eastAsia" w:ascii="仿宋_GB2312" w:eastAsia="仿宋_GB2312"/>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w:t>
      </w:r>
      <w:r>
        <w:rPr>
          <w:rFonts w:hint="eastAsia" w:ascii="仿宋_GB2312" w:eastAsia="仿宋_GB2312"/>
          <w:sz w:val="32"/>
          <w:szCs w:val="32"/>
        </w:rPr>
        <w:t>无政府性基金收支</w:t>
      </w:r>
      <w:r>
        <w:rPr>
          <w:rFonts w:ascii="仿宋_GB2312" w:eastAsia="仿宋_GB2312"/>
          <w:color w:val="000000" w:themeColor="text1"/>
          <w:sz w:val="32"/>
          <w:szCs w:val="32"/>
        </w:rPr>
        <w:t>。</w:t>
      </w:r>
      <w:bookmarkEnd w:id="49"/>
      <w:bookmarkEnd w:id="50"/>
      <w:bookmarkStart w:id="51" w:name="OLE_LINK73"/>
      <w:r>
        <w:rPr>
          <w:rFonts w:hint="eastAsia" w:ascii="仿宋_GB2312" w:eastAsia="仿宋_GB2312"/>
          <w:color w:val="000000" w:themeColor="text1"/>
          <w:sz w:val="32"/>
          <w:szCs w:val="32"/>
        </w:rPr>
        <w:t>政府性基金预算财政拨款支出年初预算数0万元，决算数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w:t>
      </w:r>
      <w:r>
        <w:rPr>
          <w:rFonts w:hint="eastAsia" w:ascii="仿宋_GB2312" w:eastAsia="仿宋_GB2312"/>
          <w:sz w:val="32"/>
          <w:szCs w:val="32"/>
        </w:rPr>
        <w:t>无政府性基金收支</w:t>
      </w:r>
      <w:r>
        <w:rPr>
          <w:rFonts w:ascii="仿宋_GB2312" w:eastAsia="仿宋_GB2312"/>
          <w:color w:val="000000" w:themeColor="text1"/>
          <w:sz w:val="32"/>
          <w:szCs w:val="32"/>
        </w:rPr>
        <w:t>。</w:t>
      </w:r>
      <w:bookmarkEnd w:id="51"/>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spacing w:line="540" w:lineRule="exact"/>
        <w:ind w:firstLine="640" w:firstLineChars="200"/>
        <w:rPr>
          <w:rFonts w:ascii="仿宋_GB2312" w:eastAsia="仿宋_GB2312"/>
          <w:color w:val="000000" w:themeColor="text1"/>
          <w:sz w:val="32"/>
          <w:szCs w:val="32"/>
        </w:rPr>
      </w:pPr>
      <w:bookmarkStart w:id="52" w:name="OLE_LINK25"/>
      <w:bookmarkStart w:id="53" w:name="OLE_LINK26"/>
      <w:r>
        <w:rPr>
          <w:rFonts w:hint="eastAsia" w:ascii="仿宋_GB2312" w:eastAsia="仿宋_GB2312"/>
          <w:color w:val="000000" w:themeColor="text1"/>
          <w:sz w:val="32"/>
          <w:szCs w:val="32"/>
        </w:rPr>
        <w:t>年末结转结余</w:t>
      </w:r>
      <w:bookmarkEnd w:id="52"/>
      <w:bookmarkEnd w:id="53"/>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r>
        <w:rPr>
          <w:rFonts w:hint="eastAsia" w:ascii="仿宋_GB2312" w:eastAsia="仿宋_GB2312"/>
          <w:color w:val="000000" w:themeColor="text1"/>
          <w:sz w:val="32"/>
          <w:szCs w:val="32"/>
        </w:rPr>
        <w:t>其中</w:t>
      </w:r>
      <w:bookmarkStart w:id="54" w:name="OLE_LINK27"/>
      <w:bookmarkStart w:id="55" w:name="OLE_LINK28"/>
      <w:r>
        <w:rPr>
          <w:rFonts w:hint="eastAsia" w:ascii="仿宋_GB2312" w:eastAsia="仿宋_GB2312"/>
          <w:color w:val="000000" w:themeColor="text1"/>
          <w:sz w:val="32"/>
          <w:szCs w:val="32"/>
        </w:rPr>
        <w:t>财政拨款结转结余</w:t>
      </w:r>
      <w:bookmarkEnd w:id="54"/>
      <w:bookmarkEnd w:id="5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w:t>
      </w:r>
      <w:bookmarkStart w:id="92" w:name="_GoBack"/>
      <w:bookmarkEnd w:id="92"/>
      <w:r>
        <w:rPr>
          <w:rFonts w:hint="eastAsia" w:ascii="仿宋_GB2312" w:eastAsia="仿宋_GB2312"/>
          <w:sz w:val="32"/>
          <w:szCs w:val="32"/>
        </w:rPr>
        <w:t>。</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ascii="仿宋_GB2312" w:eastAsia="仿宋_GB2312"/>
          <w:color w:val="000000" w:themeColor="text1"/>
          <w:sz w:val="32"/>
          <w:szCs w:val="32"/>
        </w:rPr>
      </w:pPr>
      <w:bookmarkStart w:id="56" w:name="OLE_LINK74"/>
      <w:r>
        <w:rPr>
          <w:rFonts w:hint="eastAsia" w:ascii="仿宋_GB2312" w:eastAsia="仿宋_GB2312"/>
          <w:color w:val="000000" w:themeColor="text1"/>
          <w:sz w:val="32"/>
          <w:szCs w:val="32"/>
        </w:rPr>
        <w:t>2018年度</w:t>
      </w:r>
      <w:bookmarkStart w:id="57" w:name="OLE_LINK29"/>
      <w:r>
        <w:rPr>
          <w:rFonts w:hint="eastAsia" w:ascii="仿宋_GB2312" w:eastAsia="仿宋_GB2312"/>
          <w:color w:val="000000" w:themeColor="text1"/>
          <w:sz w:val="32"/>
          <w:szCs w:val="32"/>
        </w:rPr>
        <w:t>一般公共预算“三公”经费支出决算</w:t>
      </w:r>
      <w:bookmarkEnd w:id="57"/>
      <w:r>
        <w:rPr>
          <w:rFonts w:hint="eastAsia" w:ascii="仿宋_GB2312" w:eastAsia="仿宋_GB2312"/>
          <w:sz w:val="32"/>
          <w:szCs w:val="32"/>
        </w:rPr>
        <w:t>1</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，与上年相比，减少0.13万元，下降11.5%，减少的主要原因是：公务用车运行维护费有所下降。</w:t>
      </w:r>
      <w:bookmarkEnd w:id="56"/>
      <w:bookmarkStart w:id="58" w:name="OLE_LINK75"/>
      <w:r>
        <w:rPr>
          <w:rFonts w:hint="eastAsia" w:ascii="仿宋_GB2312" w:eastAsia="仿宋_GB2312"/>
          <w:color w:val="000000" w:themeColor="text1"/>
          <w:sz w:val="32"/>
          <w:szCs w:val="32"/>
        </w:rPr>
        <w:t>其中，</w:t>
      </w:r>
      <w:bookmarkStart w:id="59" w:name="OLE_LINK30"/>
      <w:r>
        <w:rPr>
          <w:rFonts w:hint="eastAsia" w:ascii="仿宋_GB2312" w:eastAsia="仿宋_GB2312"/>
          <w:color w:val="000000" w:themeColor="text1"/>
          <w:sz w:val="32"/>
          <w:szCs w:val="32"/>
        </w:rPr>
        <w:t>因公出国（境）费支出</w:t>
      </w:r>
      <w:bookmarkEnd w:id="5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0%，与上年相比增加0万元，增长0%，主要原因是：没有关于因公出国（境）的预算数和决算数；</w:t>
      </w:r>
      <w:bookmarkEnd w:id="58"/>
      <w:bookmarkStart w:id="60" w:name="OLE_LINK31"/>
      <w:bookmarkStart w:id="61" w:name="OLE_LINK76"/>
      <w:r>
        <w:rPr>
          <w:rFonts w:hint="eastAsia" w:ascii="仿宋_GB2312" w:eastAsia="仿宋_GB2312"/>
          <w:color w:val="000000" w:themeColor="text1"/>
          <w:sz w:val="32"/>
          <w:szCs w:val="32"/>
        </w:rPr>
        <w:t>公务用车购置及运行维护费支出</w:t>
      </w:r>
      <w:bookmarkEnd w:id="60"/>
      <w:r>
        <w:rPr>
          <w:rFonts w:hint="eastAsia" w:ascii="仿宋_GB2312" w:eastAsia="仿宋_GB2312"/>
          <w:sz w:val="32"/>
          <w:szCs w:val="32"/>
        </w:rPr>
        <w:t>1</w:t>
      </w:r>
      <w:r>
        <w:rPr>
          <w:rFonts w:hint="eastAsia" w:ascii="仿宋_GB2312" w:eastAsia="仿宋_GB2312"/>
          <w:color w:val="000000" w:themeColor="text1"/>
          <w:sz w:val="32"/>
          <w:szCs w:val="32"/>
        </w:rPr>
        <w:t>万元，占</w:t>
      </w:r>
      <w:r>
        <w:rPr>
          <w:rFonts w:hint="eastAsia" w:ascii="仿宋_GB2312" w:eastAsia="仿宋_GB2312"/>
          <w:sz w:val="32"/>
          <w:szCs w:val="32"/>
        </w:rPr>
        <w:t>100%，与上年相比，减少0.13万元，下降11.5%，减少的主要原因是：</w:t>
      </w:r>
      <w:r>
        <w:rPr>
          <w:rFonts w:hint="eastAsia" w:ascii="仿宋_GB2312" w:eastAsia="仿宋_GB2312"/>
          <w:sz w:val="32"/>
          <w:szCs w:val="32"/>
          <w:lang w:eastAsia="zh-CN"/>
        </w:rPr>
        <w:t>压缩公用经费，节省开支</w:t>
      </w:r>
      <w:r>
        <w:rPr>
          <w:rFonts w:hint="eastAsia" w:ascii="仿宋_GB2312" w:eastAsia="仿宋_GB2312"/>
          <w:sz w:val="32"/>
          <w:szCs w:val="32"/>
        </w:rPr>
        <w:t>；</w:t>
      </w:r>
      <w:bookmarkEnd w:id="61"/>
      <w:bookmarkStart w:id="62" w:name="OLE_LINK32"/>
      <w:bookmarkStart w:id="63" w:name="OLE_LINK77"/>
      <w:bookmarkStart w:id="64" w:name="OLE_LINK78"/>
      <w:r>
        <w:rPr>
          <w:rFonts w:hint="eastAsia" w:ascii="仿宋_GB2312" w:eastAsia="仿宋_GB2312"/>
          <w:color w:val="000000" w:themeColor="text1"/>
          <w:sz w:val="32"/>
          <w:szCs w:val="32"/>
        </w:rPr>
        <w:t>公务接待费支出</w:t>
      </w:r>
      <w:bookmarkEnd w:id="6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0%，与上年相比增加0万元，增长0%，主要原因是：没有公用接待预算数和决算数。</w:t>
      </w:r>
      <w:bookmarkEnd w:id="63"/>
      <w:bookmarkEnd w:id="64"/>
      <w:r>
        <w:rPr>
          <w:rFonts w:hint="eastAsia" w:ascii="仿宋_GB2312" w:eastAsia="仿宋_GB2312"/>
          <w:color w:val="000000" w:themeColor="text1"/>
          <w:sz w:val="32"/>
          <w:szCs w:val="32"/>
        </w:rPr>
        <w:t>具体情况如下：</w:t>
      </w:r>
    </w:p>
    <w:p>
      <w:pPr>
        <w:spacing w:line="540" w:lineRule="exact"/>
        <w:ind w:firstLine="640" w:firstLineChars="200"/>
        <w:rPr>
          <w:rFonts w:ascii="仿宋_GB2312" w:eastAsia="仿宋_GB2312"/>
          <w:color w:val="000000" w:themeColor="text1"/>
          <w:sz w:val="32"/>
          <w:szCs w:val="32"/>
        </w:rPr>
      </w:pPr>
      <w:bookmarkStart w:id="65" w:name="OLE_LINK79"/>
      <w:bookmarkStart w:id="66" w:name="OLE_LINK80"/>
      <w:r>
        <w:rPr>
          <w:rFonts w:hint="eastAsia" w:ascii="仿宋_GB2312" w:eastAsia="仿宋_GB2312"/>
          <w:color w:val="000000" w:themeColor="text1"/>
          <w:sz w:val="32"/>
          <w:szCs w:val="32"/>
        </w:rPr>
        <w:t>因公出国（境）费支出</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新疆喀什地区英吉沙县质量技术监督局</w:t>
      </w:r>
      <w:r>
        <w:rPr>
          <w:rFonts w:hint="eastAsia" w:ascii="仿宋_GB2312" w:eastAsia="仿宋_GB2312"/>
          <w:color w:val="000000" w:themeColor="text1"/>
          <w:sz w:val="32"/>
          <w:szCs w:val="32"/>
        </w:rPr>
        <w:t>单位</w:t>
      </w:r>
      <w:bookmarkStart w:id="67" w:name="OLE_LINK33"/>
      <w:r>
        <w:rPr>
          <w:rFonts w:hint="eastAsia" w:ascii="仿宋_GB2312" w:eastAsia="仿宋_GB2312"/>
          <w:color w:val="000000" w:themeColor="text1"/>
          <w:sz w:val="32"/>
          <w:szCs w:val="32"/>
        </w:rPr>
        <w:t>全年</w:t>
      </w:r>
      <w:bookmarkStart w:id="68" w:name="OLE_LINK35"/>
      <w:bookmarkStart w:id="69" w:name="OLE_LINK34"/>
      <w:bookmarkStart w:id="70" w:name="OLE_LINK36"/>
      <w:r>
        <w:rPr>
          <w:rFonts w:hint="eastAsia" w:ascii="仿宋_GB2312" w:eastAsia="仿宋_GB2312"/>
          <w:color w:val="000000" w:themeColor="text1"/>
          <w:sz w:val="32"/>
          <w:szCs w:val="32"/>
        </w:rPr>
        <w:t>使用一般公共预算财政拨款安排的出国（境）团组</w:t>
      </w:r>
      <w:bookmarkEnd w:id="67"/>
      <w:bookmarkEnd w:id="68"/>
      <w:bookmarkEnd w:id="69"/>
      <w:r>
        <w:rPr>
          <w:rFonts w:hint="eastAsia" w:ascii="仿宋_GB2312" w:eastAsia="仿宋_GB2312"/>
          <w:sz w:val="32"/>
          <w:szCs w:val="32"/>
        </w:rPr>
        <w:t>0</w:t>
      </w:r>
      <w:r>
        <w:rPr>
          <w:rFonts w:hint="eastAsia" w:ascii="仿宋_GB2312" w:eastAsia="仿宋_GB2312"/>
          <w:color w:val="000000" w:themeColor="text1"/>
          <w:sz w:val="32"/>
          <w:szCs w:val="32"/>
        </w:rPr>
        <w:t>个</w:t>
      </w:r>
      <w:bookmarkEnd w:id="70"/>
      <w:r>
        <w:rPr>
          <w:rFonts w:hint="eastAsia" w:ascii="仿宋_GB2312" w:eastAsia="仿宋_GB2312"/>
          <w:color w:val="000000" w:themeColor="text1"/>
          <w:sz w:val="32"/>
          <w:szCs w:val="32"/>
        </w:rPr>
        <w:t>，</w:t>
      </w:r>
      <w:bookmarkStart w:id="71" w:name="OLE_LINK37"/>
      <w:r>
        <w:rPr>
          <w:rFonts w:hint="eastAsia" w:ascii="仿宋_GB2312" w:eastAsia="仿宋_GB2312"/>
          <w:color w:val="000000" w:themeColor="text1"/>
          <w:sz w:val="32"/>
          <w:szCs w:val="32"/>
        </w:rPr>
        <w:t>累计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1"/>
      <w:r>
        <w:rPr>
          <w:rFonts w:hint="eastAsia" w:ascii="仿宋_GB2312" w:eastAsia="仿宋_GB2312"/>
          <w:color w:val="000000" w:themeColor="text1"/>
          <w:sz w:val="32"/>
          <w:szCs w:val="32"/>
        </w:rPr>
        <w:t>。</w:t>
      </w:r>
      <w:bookmarkStart w:id="72" w:name="OLE_LINK38"/>
      <w:r>
        <w:rPr>
          <w:rFonts w:hint="eastAsia" w:ascii="仿宋_GB2312" w:eastAsia="仿宋_GB2312"/>
          <w:color w:val="000000" w:themeColor="text1"/>
          <w:sz w:val="32"/>
          <w:szCs w:val="32"/>
        </w:rPr>
        <w:t>开支内容包括：</w:t>
      </w:r>
      <w:r>
        <w:rPr>
          <w:rFonts w:ascii="仿宋_GB2312" w:eastAsia="仿宋_GB2312"/>
          <w:color w:val="000000" w:themeColor="text1"/>
          <w:sz w:val="32"/>
          <w:szCs w:val="32"/>
        </w:rPr>
        <w:t>没有关于因公出国（境）的预算数和决算数。</w:t>
      </w:r>
      <w:bookmarkEnd w:id="65"/>
      <w:bookmarkEnd w:id="66"/>
      <w:bookmarkEnd w:id="72"/>
    </w:p>
    <w:p>
      <w:pPr>
        <w:spacing w:line="540" w:lineRule="exact"/>
        <w:ind w:firstLine="640" w:firstLineChars="200"/>
        <w:rPr>
          <w:rFonts w:ascii="仿宋_GB2312" w:eastAsia="仿宋_GB2312"/>
          <w:color w:val="000000" w:themeColor="text1"/>
          <w:sz w:val="32"/>
          <w:szCs w:val="32"/>
        </w:rPr>
      </w:pPr>
      <w:bookmarkStart w:id="73" w:name="OLE_LINK81"/>
      <w:r>
        <w:rPr>
          <w:rFonts w:hint="eastAsia" w:ascii="仿宋_GB2312" w:eastAsia="仿宋_GB2312"/>
          <w:color w:val="000000" w:themeColor="text1"/>
          <w:sz w:val="32"/>
          <w:szCs w:val="32"/>
        </w:rPr>
        <w:t>公务用车购置及运行维护费</w:t>
      </w:r>
      <w:r>
        <w:rPr>
          <w:rFonts w:hint="eastAsia" w:ascii="仿宋_GB2312" w:eastAsia="仿宋_GB2312"/>
          <w:sz w:val="32"/>
          <w:szCs w:val="32"/>
        </w:rPr>
        <w:t>1</w:t>
      </w:r>
      <w:r>
        <w:rPr>
          <w:rFonts w:hint="eastAsia" w:ascii="仿宋_GB2312" w:eastAsia="仿宋_GB2312"/>
          <w:color w:val="000000" w:themeColor="text1"/>
          <w:sz w:val="32"/>
          <w:szCs w:val="32"/>
        </w:rPr>
        <w:t>万元,其中，</w:t>
      </w:r>
      <w:bookmarkStart w:id="74" w:name="OLE_LINK39"/>
      <w:r>
        <w:rPr>
          <w:rFonts w:hint="eastAsia" w:ascii="仿宋_GB2312" w:eastAsia="仿宋_GB2312"/>
          <w:color w:val="000000" w:themeColor="text1"/>
          <w:sz w:val="32"/>
          <w:szCs w:val="32"/>
        </w:rPr>
        <w:t>公务用车购置</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74"/>
      <w:r>
        <w:rPr>
          <w:rFonts w:hint="eastAsia" w:ascii="仿宋_GB2312" w:eastAsia="仿宋_GB2312"/>
          <w:color w:val="000000" w:themeColor="text1"/>
          <w:sz w:val="32"/>
          <w:szCs w:val="32"/>
        </w:rPr>
        <w:t>，</w:t>
      </w:r>
      <w:bookmarkStart w:id="75" w:name="OLE_LINK40"/>
      <w:bookmarkStart w:id="76" w:name="OLE_LINK41"/>
      <w:r>
        <w:rPr>
          <w:rFonts w:hint="eastAsia" w:ascii="仿宋_GB2312" w:eastAsia="仿宋_GB2312"/>
          <w:color w:val="000000" w:themeColor="text1"/>
          <w:sz w:val="32"/>
          <w:szCs w:val="32"/>
        </w:rPr>
        <w:t>公务用车运行维护费</w:t>
      </w:r>
      <w:r>
        <w:rPr>
          <w:rFonts w:hint="eastAsia" w:ascii="仿宋_GB2312" w:eastAsia="仿宋_GB2312"/>
          <w:sz w:val="32"/>
          <w:szCs w:val="32"/>
        </w:rPr>
        <w:t>1</w:t>
      </w:r>
      <w:r>
        <w:rPr>
          <w:rFonts w:hint="eastAsia" w:ascii="仿宋_GB2312" w:eastAsia="仿宋_GB2312"/>
          <w:color w:val="000000" w:themeColor="text1"/>
          <w:sz w:val="32"/>
          <w:szCs w:val="32"/>
        </w:rPr>
        <w:t>万元</w:t>
      </w:r>
      <w:bookmarkEnd w:id="75"/>
      <w:bookmarkEnd w:id="76"/>
      <w:r>
        <w:rPr>
          <w:rFonts w:hint="eastAsia" w:ascii="仿宋_GB2312" w:eastAsia="仿宋_GB2312"/>
          <w:color w:val="000000" w:themeColor="text1"/>
          <w:sz w:val="32"/>
          <w:szCs w:val="32"/>
        </w:rPr>
        <w:t>。主要用于</w:t>
      </w:r>
      <w:r>
        <w:rPr>
          <w:rFonts w:hint="eastAsia" w:ascii="仿宋_GB2312" w:eastAsia="仿宋_GB2312"/>
          <w:sz w:val="32"/>
          <w:szCs w:val="32"/>
        </w:rPr>
        <w:t>汽车油料，维护费，过路费，审验检验费，维修费等</w:t>
      </w:r>
      <w:r>
        <w:rPr>
          <w:rFonts w:hint="eastAsia" w:ascii="仿宋_GB2312" w:eastAsia="仿宋_GB2312"/>
          <w:color w:val="000000" w:themeColor="text1"/>
          <w:sz w:val="32"/>
          <w:szCs w:val="32"/>
        </w:rPr>
        <w:t>等。</w:t>
      </w:r>
      <w:bookmarkEnd w:id="73"/>
      <w:bookmarkStart w:id="77" w:name="OLE_LINK82"/>
      <w:r>
        <w:rPr>
          <w:rFonts w:hint="eastAsia" w:ascii="仿宋_GB2312" w:eastAsia="仿宋_GB2312"/>
          <w:color w:val="000000" w:themeColor="text1"/>
          <w:sz w:val="32"/>
          <w:szCs w:val="32"/>
        </w:rPr>
        <w:t>单位一般公共财政拨款安排的公务用车购置量</w:t>
      </w:r>
      <w:r>
        <w:rPr>
          <w:rFonts w:hint="eastAsia" w:ascii="仿宋_GB2312" w:eastAsia="仿宋_GB2312"/>
          <w:sz w:val="32"/>
          <w:szCs w:val="32"/>
        </w:rPr>
        <w:t>0</w:t>
      </w:r>
      <w:r>
        <w:rPr>
          <w:rFonts w:hint="eastAsia" w:ascii="仿宋_GB2312" w:eastAsia="仿宋_GB2312"/>
          <w:color w:val="000000" w:themeColor="text1"/>
          <w:sz w:val="32"/>
          <w:szCs w:val="32"/>
        </w:rPr>
        <w:t>辆，保有量为</w:t>
      </w:r>
      <w:r>
        <w:rPr>
          <w:rFonts w:hint="eastAsia" w:ascii="仿宋_GB2312" w:eastAsia="仿宋_GB2312"/>
          <w:sz w:val="32"/>
          <w:szCs w:val="32"/>
        </w:rPr>
        <w:t>2</w:t>
      </w:r>
      <w:r>
        <w:rPr>
          <w:rFonts w:hint="eastAsia" w:ascii="仿宋_GB2312" w:eastAsia="仿宋_GB2312"/>
          <w:color w:val="000000" w:themeColor="text1"/>
          <w:sz w:val="32"/>
          <w:szCs w:val="32"/>
        </w:rPr>
        <w:t>辆。</w:t>
      </w:r>
      <w:bookmarkEnd w:id="77"/>
    </w:p>
    <w:p>
      <w:pPr>
        <w:spacing w:line="540" w:lineRule="exact"/>
        <w:ind w:firstLine="640" w:firstLineChars="200"/>
        <w:rPr>
          <w:rFonts w:ascii="仿宋_GB2312" w:eastAsia="仿宋_GB2312"/>
          <w:color w:val="000000" w:themeColor="text1"/>
          <w:sz w:val="32"/>
          <w:szCs w:val="32"/>
        </w:rPr>
      </w:pPr>
      <w:bookmarkStart w:id="78" w:name="OLE_LINK83"/>
      <w:r>
        <w:rPr>
          <w:rFonts w:hint="eastAsia" w:ascii="仿宋_GB2312" w:eastAsia="仿宋_GB2312"/>
          <w:color w:val="000000" w:themeColor="text1"/>
          <w:sz w:val="32"/>
          <w:szCs w:val="32"/>
        </w:rPr>
        <w:t>公务接待费</w:t>
      </w:r>
      <w:r>
        <w:rPr>
          <w:rFonts w:hint="eastAsia" w:ascii="仿宋_GB2312" w:eastAsia="仿宋_GB2312"/>
          <w:sz w:val="32"/>
          <w:szCs w:val="32"/>
        </w:rPr>
        <w:t>0</w:t>
      </w:r>
      <w:r>
        <w:rPr>
          <w:rFonts w:hint="eastAsia" w:ascii="仿宋_GB2312" w:eastAsia="仿宋_GB2312"/>
          <w:color w:val="000000" w:themeColor="text1"/>
          <w:sz w:val="32"/>
          <w:szCs w:val="32"/>
        </w:rPr>
        <w:t>万元。具体是：国内公务接待支出</w:t>
      </w:r>
      <w:r>
        <w:rPr>
          <w:rFonts w:hint="eastAsia" w:ascii="仿宋_GB2312" w:eastAsia="仿宋_GB2312"/>
          <w:sz w:val="32"/>
          <w:szCs w:val="32"/>
        </w:rPr>
        <w:t>0</w:t>
      </w:r>
      <w:r>
        <w:rPr>
          <w:rFonts w:hint="eastAsia" w:ascii="仿宋_GB2312" w:eastAsia="仿宋_GB2312"/>
          <w:color w:val="000000" w:themeColor="text1"/>
          <w:sz w:val="32"/>
          <w:szCs w:val="32"/>
        </w:rPr>
        <w:t>万元，主要是</w:t>
      </w:r>
      <w:r>
        <w:rPr>
          <w:rFonts w:hint="eastAsia" w:ascii="仿宋_GB2312" w:eastAsia="仿宋_GB2312"/>
          <w:sz w:val="32"/>
          <w:szCs w:val="32"/>
        </w:rPr>
        <w:t>没有公用接待预算和决算</w:t>
      </w:r>
      <w:r>
        <w:rPr>
          <w:rFonts w:hint="eastAsia" w:ascii="仿宋_GB2312" w:eastAsia="仿宋_GB2312"/>
          <w:color w:val="000000" w:themeColor="text1"/>
          <w:sz w:val="32"/>
          <w:szCs w:val="32"/>
        </w:rPr>
        <w:t>等。</w:t>
      </w:r>
      <w:bookmarkEnd w:id="78"/>
      <w:bookmarkStart w:id="79" w:name="OLE_LINK84"/>
      <w:r>
        <w:rPr>
          <w:rFonts w:hint="eastAsia" w:ascii="仿宋_GB2312" w:eastAsia="仿宋_GB2312"/>
          <w:sz w:val="32"/>
          <w:szCs w:val="32"/>
        </w:rPr>
        <w:t>新疆喀什地区英吉沙县质量技术监督局</w:t>
      </w:r>
      <w:r>
        <w:rPr>
          <w:rFonts w:hint="eastAsia" w:ascii="仿宋_GB2312" w:eastAsia="仿宋_GB2312"/>
          <w:color w:val="000000" w:themeColor="text1"/>
          <w:sz w:val="32"/>
          <w:szCs w:val="32"/>
        </w:rPr>
        <w:t>单位国内公务接待</w:t>
      </w:r>
      <w:r>
        <w:rPr>
          <w:rFonts w:hint="eastAsia" w:ascii="仿宋_GB2312" w:eastAsia="仿宋_GB2312"/>
          <w:sz w:val="32"/>
          <w:szCs w:val="32"/>
        </w:rPr>
        <w:t>0</w:t>
      </w:r>
      <w:r>
        <w:rPr>
          <w:rFonts w:hint="eastAsia" w:ascii="仿宋_GB2312" w:eastAsia="仿宋_GB2312"/>
          <w:color w:val="000000" w:themeColor="text1"/>
          <w:sz w:val="32"/>
          <w:szCs w:val="32"/>
        </w:rPr>
        <w:t>批次，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9"/>
    </w:p>
    <w:p>
      <w:pPr>
        <w:spacing w:line="540" w:lineRule="exact"/>
        <w:ind w:firstLine="640" w:firstLineChars="200"/>
        <w:rPr>
          <w:rFonts w:ascii="仿宋_GB2312" w:hAnsi="宋体" w:eastAsia="仿宋_GB2312" w:cs="宋体"/>
          <w:color w:val="000000" w:themeColor="text1"/>
          <w:kern w:val="0"/>
          <w:sz w:val="32"/>
          <w:szCs w:val="32"/>
        </w:rPr>
      </w:pPr>
      <w:bookmarkStart w:id="80" w:name="OLE_LINK85"/>
      <w:r>
        <w:rPr>
          <w:rFonts w:hint="eastAsia" w:ascii="仿宋_GB2312" w:eastAsia="仿宋_GB2312"/>
          <w:color w:val="000000" w:themeColor="text1"/>
          <w:sz w:val="32"/>
          <w:szCs w:val="32"/>
        </w:rPr>
        <w:t>与年初预算数相比情况：一般公共预算“三公”经费支出年初预算数</w:t>
      </w:r>
      <w:r>
        <w:rPr>
          <w:rFonts w:ascii="仿宋_GB2312" w:eastAsia="仿宋_GB2312"/>
          <w:color w:val="000000" w:themeColor="text1"/>
          <w:sz w:val="32"/>
          <w:szCs w:val="32"/>
        </w:rPr>
        <w:t>1</w:t>
      </w:r>
      <w:r>
        <w:rPr>
          <w:rFonts w:hint="eastAsia" w:ascii="仿宋_GB2312" w:eastAsia="仿宋_GB2312"/>
          <w:color w:val="000000" w:themeColor="text1"/>
          <w:sz w:val="32"/>
          <w:szCs w:val="32"/>
        </w:rPr>
        <w:t>万元，决算数1万元</w:t>
      </w:r>
      <w:r>
        <w:rPr>
          <w:rFonts w:ascii="仿宋_GB2312" w:eastAsia="仿宋_GB2312"/>
          <w:color w:val="000000" w:themeColor="text1"/>
          <w:sz w:val="32"/>
          <w:szCs w:val="32"/>
        </w:rPr>
        <w:t>，预决算差异率0%，差异主要原因是</w:t>
      </w:r>
      <w:r>
        <w:rPr>
          <w:rFonts w:hint="eastAsia" w:ascii="仿宋_GB2312" w:eastAsia="仿宋_GB2312"/>
          <w:color w:val="000000" w:themeColor="text1"/>
          <w:sz w:val="32"/>
          <w:szCs w:val="32"/>
          <w:lang w:eastAsia="zh-CN"/>
        </w:rPr>
        <w:t>严格按照预算执行</w:t>
      </w:r>
      <w:r>
        <w:rPr>
          <w:rFonts w:ascii="仿宋_GB2312" w:eastAsia="仿宋_GB2312"/>
          <w:color w:val="000000" w:themeColor="text1"/>
          <w:sz w:val="32"/>
          <w:szCs w:val="32"/>
        </w:rPr>
        <w:t>。</w:t>
      </w:r>
      <w:bookmarkEnd w:id="80"/>
      <w:bookmarkStart w:id="81" w:name="OLE_LINK87"/>
      <w:bookmarkStart w:id="82" w:name="OLE_LINK86"/>
      <w:r>
        <w:rPr>
          <w:rFonts w:hint="eastAsia" w:ascii="仿宋_GB2312" w:hAnsi="宋体" w:eastAsia="仿宋_GB2312" w:cs="宋体"/>
          <w:color w:val="000000" w:themeColor="text1"/>
          <w:kern w:val="0"/>
          <w:sz w:val="32"/>
          <w:szCs w:val="32"/>
        </w:rPr>
        <w:t>其中：因公出国（境）费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，预决算差异率0%，差异主要原因是没有关于因公出国（境）的预算和决算；</w:t>
      </w:r>
      <w:bookmarkEnd w:id="81"/>
      <w:bookmarkEnd w:id="82"/>
      <w:bookmarkStart w:id="83" w:name="OLE_LINK89"/>
      <w:bookmarkStart w:id="84" w:name="OLE_LINK88"/>
      <w:r>
        <w:rPr>
          <w:rFonts w:hint="eastAsia" w:ascii="仿宋_GB2312" w:hAnsi="宋体" w:eastAsia="仿宋_GB2312" w:cs="宋体"/>
          <w:color w:val="000000" w:themeColor="text1"/>
          <w:kern w:val="0"/>
          <w:sz w:val="32"/>
          <w:szCs w:val="32"/>
        </w:rPr>
        <w:t>公务用车购置</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，预决算差异率0%，差异主要原因是没有公用用车购置预算数和决算数；</w:t>
      </w:r>
      <w:bookmarkEnd w:id="83"/>
      <w:bookmarkEnd w:id="84"/>
      <w:bookmarkStart w:id="85" w:name="OLE_LINK90"/>
      <w:r>
        <w:rPr>
          <w:rFonts w:hint="eastAsia" w:ascii="仿宋_GB2312" w:hAnsi="宋体" w:eastAsia="仿宋_GB2312" w:cs="宋体"/>
          <w:color w:val="000000" w:themeColor="text1"/>
          <w:kern w:val="0"/>
          <w:sz w:val="32"/>
          <w:szCs w:val="32"/>
        </w:rPr>
        <w:t>公务用车运行费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1</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1</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w:t>
      </w:r>
      <w:r>
        <w:rPr>
          <w:rFonts w:hint="eastAsia" w:ascii="仿宋_GB2312" w:eastAsia="仿宋_GB2312"/>
          <w:color w:val="000000" w:themeColor="text1"/>
          <w:sz w:val="32"/>
          <w:szCs w:val="32"/>
          <w:lang w:eastAsia="zh-CN"/>
        </w:rPr>
        <w:t>严格按照预算执行</w:t>
      </w:r>
      <w:r>
        <w:rPr>
          <w:rFonts w:ascii="仿宋_GB2312" w:eastAsia="仿宋_GB2312"/>
          <w:color w:val="000000" w:themeColor="text1"/>
          <w:sz w:val="32"/>
          <w:szCs w:val="32"/>
        </w:rPr>
        <w:t>；</w:t>
      </w:r>
      <w:bookmarkEnd w:id="85"/>
      <w:bookmarkStart w:id="86" w:name="OLE_LINK91"/>
      <w:r>
        <w:rPr>
          <w:rFonts w:hint="eastAsia" w:ascii="仿宋_GB2312" w:hAnsi="宋体" w:eastAsia="仿宋_GB2312" w:cs="宋体"/>
          <w:color w:val="000000" w:themeColor="text1"/>
          <w:kern w:val="0"/>
          <w:sz w:val="32"/>
          <w:szCs w:val="32"/>
        </w:rPr>
        <w:t>公务接待费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bookmarkEnd w:id="86"/>
      <w:r>
        <w:rPr>
          <w:rFonts w:ascii="仿宋_GB2312" w:eastAsia="仿宋_GB2312"/>
          <w:color w:val="000000" w:themeColor="text1"/>
          <w:sz w:val="32"/>
          <w:szCs w:val="32"/>
        </w:rPr>
        <w:t>没有公用接待费预算数和决算数。</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2018年度新疆喀什地区英吉沙县质量技术监督局机关运行经费支出3.53万元，与上年相比，减少1.27万元，下降26.46%，减少的主要原因是：公务用车运行维护费有所下降。</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87" w:name="OLE_LINK45"/>
      <w:r>
        <w:rPr>
          <w:rFonts w:hint="eastAsia" w:ascii="仿宋_GB2312" w:eastAsia="仿宋_GB2312"/>
          <w:color w:val="000000" w:themeColor="text1"/>
          <w:sz w:val="32"/>
          <w:szCs w:val="32"/>
        </w:rPr>
        <w:t>政府采购支出总额</w:t>
      </w:r>
      <w:bookmarkEnd w:id="87"/>
      <w:r>
        <w:rPr>
          <w:rFonts w:hint="eastAsia" w:ascii="仿宋_GB2312" w:eastAsia="仿宋_GB2312"/>
          <w:sz w:val="32"/>
          <w:szCs w:val="32"/>
        </w:rPr>
        <w:t>0</w:t>
      </w:r>
      <w:r>
        <w:rPr>
          <w:rFonts w:hint="eastAsia" w:ascii="仿宋_GB2312" w:eastAsia="仿宋_GB2312"/>
          <w:color w:val="000000" w:themeColor="text1"/>
          <w:sz w:val="32"/>
          <w:szCs w:val="32"/>
        </w:rPr>
        <w:t>万元，其中：</w:t>
      </w:r>
      <w:bookmarkStart w:id="88" w:name="OLE_LINK46"/>
      <w:r>
        <w:rPr>
          <w:rFonts w:hint="eastAsia" w:ascii="仿宋_GB2312" w:eastAsia="仿宋_GB2312"/>
          <w:color w:val="000000" w:themeColor="text1"/>
          <w:sz w:val="32"/>
          <w:szCs w:val="32"/>
        </w:rPr>
        <w:t>政府采购货物支出</w:t>
      </w:r>
      <w:bookmarkEnd w:id="88"/>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89" w:name="OLE_LINK47"/>
      <w:r>
        <w:rPr>
          <w:rFonts w:hint="eastAsia" w:ascii="仿宋_GB2312" w:eastAsia="仿宋_GB2312"/>
          <w:color w:val="000000" w:themeColor="text1"/>
          <w:sz w:val="32"/>
          <w:szCs w:val="32"/>
        </w:rPr>
        <w:t>政府采购工程支出</w:t>
      </w:r>
      <w:bookmarkEnd w:id="89"/>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90" w:name="OLE_LINK48"/>
      <w:r>
        <w:rPr>
          <w:rFonts w:hint="eastAsia" w:ascii="仿宋_GB2312" w:eastAsia="仿宋_GB2312"/>
          <w:color w:val="000000" w:themeColor="text1"/>
          <w:sz w:val="32"/>
          <w:szCs w:val="32"/>
        </w:rPr>
        <w:t>政府采购服务支出</w:t>
      </w:r>
      <w:bookmarkEnd w:id="90"/>
      <w:r>
        <w:rPr>
          <w:rFonts w:hint="eastAsia" w:ascii="仿宋_GB2312" w:eastAsia="仿宋_GB2312"/>
          <w:sz w:val="32"/>
          <w:szCs w:val="32"/>
        </w:rPr>
        <w:t>0</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91"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2</w:t>
      </w:r>
      <w:r>
        <w:rPr>
          <w:rFonts w:hint="eastAsia" w:ascii="仿宋_GB2312" w:eastAsia="仿宋_GB2312"/>
          <w:color w:val="000000" w:themeColor="text1"/>
          <w:sz w:val="32"/>
          <w:szCs w:val="32"/>
        </w:rPr>
        <w:t>辆，价值</w:t>
      </w:r>
      <w:r>
        <w:rPr>
          <w:rFonts w:hint="eastAsia" w:ascii="仿宋_GB2312" w:eastAsia="仿宋_GB2312"/>
          <w:sz w:val="32"/>
          <w:szCs w:val="32"/>
        </w:rPr>
        <w:t>13.86</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1</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1</w:t>
      </w:r>
      <w:r>
        <w:rPr>
          <w:rFonts w:hint="eastAsia" w:ascii="仿宋_GB2312" w:eastAsia="仿宋_GB2312"/>
          <w:color w:val="000000" w:themeColor="text1"/>
          <w:sz w:val="32"/>
          <w:szCs w:val="32"/>
        </w:rPr>
        <w:t>辆，其他用车主要是：</w:t>
      </w:r>
      <w:r>
        <w:rPr>
          <w:rFonts w:ascii="仿宋_GB2312" w:eastAsia="仿宋_GB2312"/>
          <w:color w:val="000000" w:themeColor="text1"/>
          <w:sz w:val="32"/>
          <w:szCs w:val="32"/>
        </w:rPr>
        <w:t>质量监督执法用车；</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91"/>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2018年度，本部门单位预算绩效自评情况：</w:t>
      </w:r>
      <w:r>
        <w:rPr>
          <w:rFonts w:ascii="仿宋_GB2312" w:eastAsia="仿宋_GB2312"/>
          <w:sz w:val="32"/>
          <w:szCs w:val="32"/>
        </w:rPr>
        <w:t>本年度开展预算绩效管理和绩效自评工作，以强化单位职能为核心，通过建立科学合理的绩效机制，客观准确的评价我单位项目支出绩效，不断完善绩效评价体系，加强监督检查和考核工作。我单位在实际执行过程中注重结果导向、强调成本效益、硬化责任约束，不断加强绩效管理队伍建设，提升业务素质，提高预算管理水平和政策实施效果，实现预算和绩效管理一体，着力提高财政资源配置效率和使用效益，全面提升我单位公共服务水平。</w:t>
      </w:r>
      <w:r>
        <w:rPr>
          <w:rFonts w:hint="eastAsia" w:ascii="仿宋_GB2312" w:eastAsia="仿宋_GB2312"/>
          <w:sz w:val="32"/>
          <w:szCs w:val="32"/>
        </w:rPr>
        <w:t>英吉沙县质量技术监督局</w:t>
      </w:r>
      <w:r>
        <w:rPr>
          <w:rFonts w:ascii="仿宋_GB2312" w:eastAsia="仿宋_GB2312"/>
          <w:sz w:val="32"/>
          <w:szCs w:val="32"/>
        </w:rPr>
        <w:t>2018年度部门预算总额为</w:t>
      </w:r>
      <w:r>
        <w:rPr>
          <w:rFonts w:hint="eastAsia" w:ascii="仿宋_GB2312" w:eastAsia="仿宋_GB2312"/>
          <w:sz w:val="32"/>
          <w:szCs w:val="32"/>
          <w:lang w:val="en-US" w:eastAsia="zh-CN"/>
        </w:rPr>
        <w:t>0</w:t>
      </w:r>
      <w:r>
        <w:rPr>
          <w:rFonts w:ascii="仿宋_GB2312" w:eastAsia="仿宋_GB2312"/>
          <w:sz w:val="32"/>
          <w:szCs w:val="32"/>
        </w:rPr>
        <w:t>万元，执行金额为</w:t>
      </w:r>
      <w:r>
        <w:rPr>
          <w:rFonts w:hint="eastAsia" w:ascii="仿宋_GB2312" w:eastAsia="仿宋_GB2312"/>
          <w:sz w:val="32"/>
          <w:szCs w:val="32"/>
          <w:lang w:val="en-US" w:eastAsia="zh-CN"/>
        </w:rPr>
        <w:t>0</w:t>
      </w:r>
      <w:r>
        <w:rPr>
          <w:rFonts w:ascii="仿宋_GB2312" w:eastAsia="仿宋_GB2312"/>
          <w:sz w:val="32"/>
          <w:szCs w:val="32"/>
        </w:rPr>
        <w:t>万元，预算执行率为100%。本次自评共涉及项目数</w:t>
      </w:r>
      <w:r>
        <w:rPr>
          <w:rFonts w:hint="eastAsia" w:ascii="仿宋_GB2312" w:eastAsia="仿宋_GB2312"/>
          <w:sz w:val="32"/>
          <w:szCs w:val="32"/>
          <w:lang w:val="en-US" w:eastAsia="zh-CN"/>
        </w:rPr>
        <w:t>0</w:t>
      </w:r>
      <w:r>
        <w:rPr>
          <w:rFonts w:ascii="仿宋_GB2312" w:eastAsia="仿宋_GB2312"/>
          <w:sz w:val="32"/>
          <w:szCs w:val="32"/>
        </w:rPr>
        <w:t>个，其中已完成项目</w:t>
      </w:r>
      <w:r>
        <w:rPr>
          <w:rFonts w:hint="eastAsia" w:ascii="仿宋_GB2312" w:eastAsia="仿宋_GB2312"/>
          <w:sz w:val="32"/>
          <w:szCs w:val="32"/>
          <w:lang w:val="en-US" w:eastAsia="zh-CN"/>
        </w:rPr>
        <w:t>0</w:t>
      </w:r>
      <w:r>
        <w:rPr>
          <w:rFonts w:ascii="仿宋_GB2312" w:eastAsia="仿宋_GB2312"/>
          <w:sz w:val="32"/>
          <w:szCs w:val="32"/>
        </w:rPr>
        <w:t>个、未完成项目0个，项目总体完成率为100%，各项目支出管理过程较为规范，预期绩效目标完成情况良好。通过本次自评全面总结了项目实施过程中的经验及不足，为2019年度预算绩效管理工作开展奠定基础。</w:t>
      </w:r>
    </w:p>
    <w:p>
      <w:pPr>
        <w:spacing w:line="540" w:lineRule="exact"/>
        <w:jc w:val="center"/>
        <w:rPr>
          <w:rFonts w:ascii="黑体" w:hAnsi="黑体" w:eastAsia="黑体"/>
          <w:sz w:val="32"/>
          <w:szCs w:val="32"/>
        </w:rPr>
      </w:pPr>
      <w:r>
        <w:rPr>
          <w:rFonts w:hint="eastAsia" w:ascii="黑体" w:hAnsi="黑体" w:eastAsia="黑体"/>
          <w:sz w:val="32"/>
          <w:szCs w:val="32"/>
        </w:rPr>
        <w:t>第三部分 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201（类）17（款）01（项）指：行政运行。221（类）02（款）01（项）指：住房公积金。208（类）05（款）05（项）指：机关事业单位基本养老保险缴费支出。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 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hint="eastAsia" w:ascii="仿宋_GB2312" w:eastAsia="仿宋_GB2312"/>
          <w:sz w:val="32"/>
          <w:szCs w:val="32"/>
        </w:r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3200" w:firstLineChars="1000"/>
        <w:jc w:val="center"/>
        <w:textAlignment w:val="auto"/>
        <w:outlineLvl w:val="9"/>
        <w:rPr>
          <w:rFonts w:ascii="仿宋_GB2312" w:eastAsia="仿宋_GB2312"/>
          <w:sz w:val="32"/>
          <w:szCs w:val="32"/>
        </w:rPr>
      </w:pPr>
      <w:r>
        <w:rPr>
          <w:rFonts w:ascii="仿宋_GB2312" w:eastAsia="仿宋_GB2312"/>
          <w:sz w:val="32"/>
          <w:szCs w:val="32"/>
        </w:rPr>
        <w:t>英吉沙县质量技术监督局</w:t>
      </w:r>
    </w:p>
    <w:p>
      <w:pPr>
        <w:keepNext w:val="0"/>
        <w:keepLines w:val="0"/>
        <w:pageBreakBefore w:val="0"/>
        <w:widowControl w:val="0"/>
        <w:kinsoku/>
        <w:wordWrap/>
        <w:overflowPunct/>
        <w:topLinePunct w:val="0"/>
        <w:autoSpaceDE/>
        <w:autoSpaceDN/>
        <w:bidi w:val="0"/>
        <w:adjustRightInd/>
        <w:snapToGrid/>
        <w:spacing w:line="540" w:lineRule="exact"/>
        <w:ind w:firstLine="3200" w:firstLineChars="1000"/>
        <w:jc w:val="center"/>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2019年8月15日</w:t>
      </w:r>
    </w:p>
    <w:p>
      <w:pPr>
        <w:spacing w:line="540" w:lineRule="exact"/>
        <w:ind w:firstLine="640" w:firstLineChars="200"/>
        <w:rPr>
          <w:rFonts w:hint="eastAsia" w:ascii="仿宋_GB2312" w:eastAsia="仿宋_GB2312"/>
          <w:sz w:val="32"/>
          <w:szCs w:val="32"/>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9"/>
        <w:rFonts w:ascii="宋体" w:hAnsi="宋体" w:eastAsia="宋体"/>
        <w:sz w:val="28"/>
      </w:rPr>
    </w:pPr>
    <w:r>
      <w:rPr>
        <w:rStyle w:val="9"/>
        <w:rFonts w:ascii="宋体" w:hAnsi="宋体" w:eastAsia="宋体"/>
        <w:sz w:val="28"/>
      </w:rPr>
      <w:fldChar w:fldCharType="begin"/>
    </w:r>
    <w:r>
      <w:rPr>
        <w:rStyle w:val="9"/>
        <w:rFonts w:ascii="宋体" w:hAnsi="宋体" w:eastAsia="宋体"/>
        <w:sz w:val="28"/>
      </w:rPr>
      <w:instrText xml:space="preserve"> PAGE </w:instrText>
    </w:r>
    <w:r>
      <w:rPr>
        <w:rStyle w:val="9"/>
        <w:rFonts w:ascii="宋体" w:hAnsi="宋体" w:eastAsia="宋体"/>
        <w:sz w:val="28"/>
      </w:rPr>
      <w:fldChar w:fldCharType="separate"/>
    </w:r>
    <w:r>
      <w:rPr>
        <w:rStyle w:val="9"/>
        <w:rFonts w:ascii="宋体" w:hAnsi="宋体" w:eastAsia="宋体"/>
        <w:sz w:val="28"/>
      </w:rPr>
      <w:t>- 1 -</w:t>
    </w:r>
    <w:r>
      <w:rPr>
        <w:rStyle w:val="9"/>
        <w:rFonts w:ascii="宋体" w:hAnsi="宋体" w:eastAsia="宋体"/>
        <w:sz w:val="28"/>
      </w:rPr>
      <w:fldChar w:fldCharType="end"/>
    </w:r>
    <w:r>
      <w:rPr>
        <w:rStyle w:val="9"/>
        <w:rFonts w:hint="eastAsia" w:ascii="宋体" w:hAnsi="宋体" w:eastAsia="宋体"/>
        <w:sz w:val="28"/>
      </w:rPr>
      <w:t xml:space="preserve"> </w:t>
    </w:r>
  </w:p>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1756" w:y="37"/>
      <w:rPr>
        <w:rStyle w:val="9"/>
        <w:rFonts w:ascii="宋体" w:hAnsi="宋体" w:eastAsia="宋体"/>
        <w:sz w:val="28"/>
        <w:szCs w:val="28"/>
      </w:rPr>
    </w:pPr>
    <w:r>
      <w:rPr>
        <w:rStyle w:val="9"/>
        <w:rFonts w:ascii="宋体" w:hAnsi="宋体" w:eastAsia="宋体"/>
        <w:sz w:val="28"/>
        <w:szCs w:val="28"/>
      </w:rPr>
      <w:fldChar w:fldCharType="begin"/>
    </w:r>
    <w:r>
      <w:rPr>
        <w:rStyle w:val="9"/>
        <w:rFonts w:ascii="宋体" w:hAnsi="宋体" w:eastAsia="宋体"/>
        <w:sz w:val="28"/>
        <w:szCs w:val="28"/>
      </w:rPr>
      <w:instrText xml:space="preserve">PAGE  </w:instrText>
    </w:r>
    <w:r>
      <w:rPr>
        <w:rStyle w:val="9"/>
        <w:rFonts w:ascii="宋体" w:hAnsi="宋体" w:eastAsia="宋体"/>
        <w:sz w:val="28"/>
        <w:szCs w:val="28"/>
      </w:rPr>
      <w:fldChar w:fldCharType="separate"/>
    </w:r>
    <w:r>
      <w:rPr>
        <w:rStyle w:val="9"/>
        <w:rFonts w:ascii="宋体" w:hAnsi="宋体" w:eastAsia="宋体"/>
        <w:sz w:val="28"/>
        <w:szCs w:val="28"/>
      </w:rPr>
      <w:t>- 12 -</w:t>
    </w:r>
    <w:r>
      <w:rPr>
        <w:rStyle w:val="9"/>
        <w:rFonts w:ascii="宋体" w:hAnsi="宋体" w:eastAsia="宋体"/>
        <w:sz w:val="28"/>
        <w:szCs w:val="28"/>
      </w:rPr>
      <w:fldChar w:fldCharType="end"/>
    </w:r>
  </w:p>
  <w:p>
    <w:pPr>
      <w:pStyle w:val="4"/>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3AA79F6"/>
    <w:rsid w:val="04741FE5"/>
    <w:rsid w:val="04DB02C7"/>
    <w:rsid w:val="06B856EE"/>
    <w:rsid w:val="07FE5938"/>
    <w:rsid w:val="084604BC"/>
    <w:rsid w:val="08883825"/>
    <w:rsid w:val="09725983"/>
    <w:rsid w:val="0A382BB5"/>
    <w:rsid w:val="0AA4543A"/>
    <w:rsid w:val="0BE61132"/>
    <w:rsid w:val="0C9B0DD6"/>
    <w:rsid w:val="0CE4791C"/>
    <w:rsid w:val="0E063C64"/>
    <w:rsid w:val="0F4C7B96"/>
    <w:rsid w:val="0FFB575E"/>
    <w:rsid w:val="10845F1B"/>
    <w:rsid w:val="11463A00"/>
    <w:rsid w:val="11600918"/>
    <w:rsid w:val="11B0398F"/>
    <w:rsid w:val="13B960C5"/>
    <w:rsid w:val="152777F4"/>
    <w:rsid w:val="15C674B6"/>
    <w:rsid w:val="18D54A0D"/>
    <w:rsid w:val="1A4106A0"/>
    <w:rsid w:val="1A4F5437"/>
    <w:rsid w:val="1AB77CD0"/>
    <w:rsid w:val="1E807156"/>
    <w:rsid w:val="1EA657F6"/>
    <w:rsid w:val="1F097CB6"/>
    <w:rsid w:val="2166156B"/>
    <w:rsid w:val="21B02D83"/>
    <w:rsid w:val="21FF5DF6"/>
    <w:rsid w:val="22A236F5"/>
    <w:rsid w:val="23995975"/>
    <w:rsid w:val="2432220E"/>
    <w:rsid w:val="248303BA"/>
    <w:rsid w:val="24837E47"/>
    <w:rsid w:val="252E01AA"/>
    <w:rsid w:val="2680023E"/>
    <w:rsid w:val="29680352"/>
    <w:rsid w:val="2A020F75"/>
    <w:rsid w:val="2B007AEE"/>
    <w:rsid w:val="2BC14C56"/>
    <w:rsid w:val="2C1B026F"/>
    <w:rsid w:val="2CC61F55"/>
    <w:rsid w:val="2EF7452F"/>
    <w:rsid w:val="2F1D13B4"/>
    <w:rsid w:val="2FAA3DA6"/>
    <w:rsid w:val="30682E1F"/>
    <w:rsid w:val="30E210D2"/>
    <w:rsid w:val="311371D6"/>
    <w:rsid w:val="31EB64C9"/>
    <w:rsid w:val="336D0D6F"/>
    <w:rsid w:val="352E4BEC"/>
    <w:rsid w:val="357F3100"/>
    <w:rsid w:val="37DD5594"/>
    <w:rsid w:val="38F24FA8"/>
    <w:rsid w:val="3A98342A"/>
    <w:rsid w:val="3AB6780E"/>
    <w:rsid w:val="3AD56D70"/>
    <w:rsid w:val="3B2920C2"/>
    <w:rsid w:val="3BE41ABD"/>
    <w:rsid w:val="3C5421A9"/>
    <w:rsid w:val="3D903B21"/>
    <w:rsid w:val="3F440741"/>
    <w:rsid w:val="41FC306C"/>
    <w:rsid w:val="44BE5554"/>
    <w:rsid w:val="451E0908"/>
    <w:rsid w:val="452C2D31"/>
    <w:rsid w:val="45D26E14"/>
    <w:rsid w:val="46A541B1"/>
    <w:rsid w:val="48C57772"/>
    <w:rsid w:val="49782886"/>
    <w:rsid w:val="4A6F0D28"/>
    <w:rsid w:val="4AAF085C"/>
    <w:rsid w:val="4AEB7E60"/>
    <w:rsid w:val="4B4B135B"/>
    <w:rsid w:val="4BC7055F"/>
    <w:rsid w:val="4CFC7DB2"/>
    <w:rsid w:val="4E7C187D"/>
    <w:rsid w:val="508941AD"/>
    <w:rsid w:val="50E65530"/>
    <w:rsid w:val="51457139"/>
    <w:rsid w:val="51574DBD"/>
    <w:rsid w:val="51EC1DA8"/>
    <w:rsid w:val="52FC5524"/>
    <w:rsid w:val="532D7A17"/>
    <w:rsid w:val="54AF4562"/>
    <w:rsid w:val="54C9674B"/>
    <w:rsid w:val="556318EA"/>
    <w:rsid w:val="55A60AA1"/>
    <w:rsid w:val="56451615"/>
    <w:rsid w:val="57FC5774"/>
    <w:rsid w:val="59B332C9"/>
    <w:rsid w:val="5A44758A"/>
    <w:rsid w:val="5BEC4BB3"/>
    <w:rsid w:val="5C070B55"/>
    <w:rsid w:val="5CB96DCE"/>
    <w:rsid w:val="5CE61580"/>
    <w:rsid w:val="5D175666"/>
    <w:rsid w:val="5D45273D"/>
    <w:rsid w:val="5D556A3C"/>
    <w:rsid w:val="5D7B25C9"/>
    <w:rsid w:val="5ECB44B4"/>
    <w:rsid w:val="5EE2043C"/>
    <w:rsid w:val="602D2E37"/>
    <w:rsid w:val="61460FBE"/>
    <w:rsid w:val="62775810"/>
    <w:rsid w:val="62D83744"/>
    <w:rsid w:val="630F4048"/>
    <w:rsid w:val="63AA02E5"/>
    <w:rsid w:val="64700DE9"/>
    <w:rsid w:val="65C613BD"/>
    <w:rsid w:val="65FD118C"/>
    <w:rsid w:val="682C3D89"/>
    <w:rsid w:val="68611305"/>
    <w:rsid w:val="6A162DE0"/>
    <w:rsid w:val="6A331428"/>
    <w:rsid w:val="6B2E5CB6"/>
    <w:rsid w:val="6B3D4886"/>
    <w:rsid w:val="6DF8675E"/>
    <w:rsid w:val="6EA80098"/>
    <w:rsid w:val="6F8D70FF"/>
    <w:rsid w:val="6FFE5011"/>
    <w:rsid w:val="704E7A3D"/>
    <w:rsid w:val="7178734D"/>
    <w:rsid w:val="71791096"/>
    <w:rsid w:val="717B0C34"/>
    <w:rsid w:val="71FB78FD"/>
    <w:rsid w:val="7275064A"/>
    <w:rsid w:val="733F750B"/>
    <w:rsid w:val="735702E2"/>
    <w:rsid w:val="765F635A"/>
    <w:rsid w:val="76B73454"/>
    <w:rsid w:val="76D254BD"/>
    <w:rsid w:val="77727ACD"/>
    <w:rsid w:val="78071142"/>
    <w:rsid w:val="79296B37"/>
    <w:rsid w:val="7A4C4C40"/>
    <w:rsid w:val="7AA0518E"/>
    <w:rsid w:val="7B041636"/>
    <w:rsid w:val="7CA86749"/>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semiHidden/>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3"/>
    <w:semiHidden/>
    <w:unhideWhenUsed/>
    <w:qFormat/>
    <w:uiPriority w:val="99"/>
    <w:rPr>
      <w:b/>
      <w:bCs/>
    </w:rPr>
  </w:style>
  <w:style w:type="character" w:styleId="9">
    <w:name w:val="page number"/>
    <w:basedOn w:val="8"/>
    <w:qFormat/>
    <w:uiPriority w:val="0"/>
  </w:style>
  <w:style w:type="character" w:styleId="10">
    <w:name w:val="annotation reference"/>
    <w:basedOn w:val="8"/>
    <w:semiHidden/>
    <w:unhideWhenUsed/>
    <w:qFormat/>
    <w:uiPriority w:val="99"/>
    <w:rPr>
      <w:sz w:val="21"/>
      <w:szCs w:val="21"/>
    </w:rPr>
  </w:style>
  <w:style w:type="character" w:customStyle="1" w:styleId="11">
    <w:name w:val="页脚 Char"/>
    <w:basedOn w:val="8"/>
    <w:link w:val="4"/>
    <w:qFormat/>
    <w:uiPriority w:val="0"/>
    <w:rPr>
      <w:rFonts w:ascii="Times New Roman" w:hAnsi="Times New Roman" w:eastAsia="黑体" w:cs="Times New Roman"/>
      <w:snapToGrid w:val="0"/>
      <w:kern w:val="0"/>
      <w:sz w:val="18"/>
      <w:szCs w:val="18"/>
    </w:rPr>
  </w:style>
  <w:style w:type="character" w:customStyle="1" w:styleId="12">
    <w:name w:val="批注文字 Char"/>
    <w:basedOn w:val="8"/>
    <w:link w:val="2"/>
    <w:semiHidden/>
    <w:qFormat/>
    <w:uiPriority w:val="99"/>
    <w:rPr>
      <w:rFonts w:ascii="Times New Roman" w:hAnsi="Times New Roman" w:eastAsia="宋体" w:cs="Times New Roman"/>
      <w:szCs w:val="24"/>
    </w:rPr>
  </w:style>
  <w:style w:type="character" w:customStyle="1" w:styleId="13">
    <w:name w:val="批注主题 Char"/>
    <w:basedOn w:val="12"/>
    <w:link w:val="6"/>
    <w:semiHidden/>
    <w:qFormat/>
    <w:uiPriority w:val="99"/>
    <w:rPr>
      <w:rFonts w:ascii="Times New Roman" w:hAnsi="Times New Roman" w:eastAsia="宋体" w:cs="Times New Roman"/>
      <w:b/>
      <w:bCs/>
      <w:szCs w:val="24"/>
    </w:rPr>
  </w:style>
  <w:style w:type="character" w:customStyle="1" w:styleId="14">
    <w:name w:val="批注框文本 Char"/>
    <w:basedOn w:val="8"/>
    <w:link w:val="3"/>
    <w:semiHidden/>
    <w:qFormat/>
    <w:uiPriority w:val="99"/>
    <w:rPr>
      <w:rFonts w:ascii="Times New Roman" w:hAnsi="Times New Roman" w:eastAsia="宋体" w:cs="Times New Roman"/>
      <w:sz w:val="18"/>
      <w:szCs w:val="18"/>
    </w:rPr>
  </w:style>
  <w:style w:type="character" w:customStyle="1" w:styleId="15">
    <w:name w:val="页眉 Char"/>
    <w:basedOn w:val="8"/>
    <w:link w:val="5"/>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1150</Words>
  <Characters>6561</Characters>
  <Lines>54</Lines>
  <Paragraphs>15</Paragraphs>
  <TotalTime>3</TotalTime>
  <ScaleCrop>false</ScaleCrop>
  <LinksUpToDate>false</LinksUpToDate>
  <CharactersWithSpaces>7696</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Administrator</cp:lastModifiedBy>
  <dcterms:modified xsi:type="dcterms:W3CDTF">2021-06-04T09:08:54Z</dcterms:modified>
  <cp:revision>811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32EC86F5654649C584800DBFEA4430C2</vt:lpwstr>
  </property>
</Properties>
</file>